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D14B8" w14:textId="77777777" w:rsidR="00F30BC0" w:rsidRDefault="00F30BC0">
      <w:pPr>
        <w:spacing w:after="0" w:line="240" w:lineRule="auto"/>
        <w:rPr>
          <w:rFonts w:ascii="Arial" w:eastAsia="Arial" w:hAnsi="Arial" w:cs="Arial"/>
          <w:b/>
          <w:sz w:val="36"/>
          <w:szCs w:val="36"/>
        </w:rPr>
      </w:pPr>
    </w:p>
    <w:p w14:paraId="568D14B9" w14:textId="77777777" w:rsidR="00F30BC0" w:rsidRDefault="0054707D">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568D14BA" w14:textId="77777777" w:rsidR="00F30BC0" w:rsidRDefault="00F30BC0">
      <w:pPr>
        <w:keepNext/>
        <w:pBdr>
          <w:top w:val="nil"/>
          <w:left w:val="nil"/>
          <w:bottom w:val="nil"/>
          <w:right w:val="nil"/>
          <w:between w:val="nil"/>
        </w:pBdr>
        <w:spacing w:after="240" w:line="240" w:lineRule="auto"/>
        <w:rPr>
          <w:rFonts w:ascii="Arial" w:eastAsia="Arial" w:hAnsi="Arial" w:cs="Arial"/>
          <w:b/>
          <w:sz w:val="32"/>
          <w:szCs w:val="32"/>
        </w:rPr>
      </w:pPr>
    </w:p>
    <w:p w14:paraId="568D14BC" w14:textId="77777777" w:rsidR="00F30BC0" w:rsidRDefault="00F30BC0">
      <w:pPr>
        <w:keepNext/>
        <w:pBdr>
          <w:top w:val="nil"/>
          <w:left w:val="nil"/>
          <w:bottom w:val="nil"/>
          <w:right w:val="nil"/>
          <w:between w:val="nil"/>
        </w:pBdr>
        <w:spacing w:after="240" w:line="240" w:lineRule="auto"/>
        <w:rPr>
          <w:rFonts w:ascii="Arial" w:eastAsia="Arial" w:hAnsi="Arial" w:cs="Arial"/>
          <w:sz w:val="24"/>
          <w:szCs w:val="24"/>
        </w:rPr>
      </w:pPr>
    </w:p>
    <w:p w14:paraId="568D14BD" w14:textId="77777777" w:rsidR="00F30BC0" w:rsidRDefault="0054707D">
      <w:pPr>
        <w:keepNext/>
        <w:pBdr>
          <w:top w:val="nil"/>
          <w:left w:val="nil"/>
          <w:bottom w:val="nil"/>
          <w:right w:val="nil"/>
          <w:between w:val="nil"/>
        </w:pBdr>
        <w:spacing w:after="240" w:line="240" w:lineRule="auto"/>
        <w:rPr>
          <w:rFonts w:ascii="Arial" w:eastAsia="Arial" w:hAnsi="Arial" w:cs="Arial"/>
          <w:b/>
          <w:sz w:val="32"/>
          <w:szCs w:val="32"/>
        </w:rPr>
      </w:pPr>
      <w:r>
        <w:rPr>
          <w:rFonts w:ascii="Arial" w:eastAsia="Arial" w:hAnsi="Arial" w:cs="Arial"/>
          <w:b/>
          <w:sz w:val="32"/>
          <w:szCs w:val="32"/>
        </w:rPr>
        <w:t>Part A: Long Form Exit Management Requirements</w:t>
      </w:r>
    </w:p>
    <w:p w14:paraId="568D14BE" w14:textId="77777777" w:rsidR="00F30BC0" w:rsidRDefault="00F30BC0">
      <w:pPr>
        <w:keepNext/>
        <w:pBdr>
          <w:top w:val="nil"/>
          <w:left w:val="nil"/>
          <w:bottom w:val="nil"/>
          <w:right w:val="nil"/>
          <w:between w:val="nil"/>
        </w:pBdr>
        <w:spacing w:after="240" w:line="240" w:lineRule="auto"/>
        <w:rPr>
          <w:rFonts w:ascii="Arial" w:eastAsia="Arial" w:hAnsi="Arial" w:cs="Arial"/>
          <w:b/>
          <w:sz w:val="32"/>
          <w:szCs w:val="32"/>
        </w:rPr>
      </w:pPr>
    </w:p>
    <w:p w14:paraId="568D14BF" w14:textId="77777777" w:rsidR="00F30BC0" w:rsidRDefault="0054707D">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568D14C0" w14:textId="77777777" w:rsidR="00F30BC0" w:rsidRDefault="0054707D">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F30BC0" w14:paraId="568D14C3" w14:textId="77777777">
        <w:tc>
          <w:tcPr>
            <w:tcW w:w="3060" w:type="dxa"/>
          </w:tcPr>
          <w:p w14:paraId="568D14C1"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568D14C2" w14:textId="59D14AD4"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Supplier Assets used exclusively by the Supplier in the provision of the Deliverables;</w:t>
            </w:r>
          </w:p>
        </w:tc>
      </w:tr>
      <w:tr w:rsidR="00F30BC0" w14:paraId="568D14C6" w14:textId="77777777">
        <w:tc>
          <w:tcPr>
            <w:tcW w:w="3060" w:type="dxa"/>
          </w:tcPr>
          <w:p w14:paraId="568D14C4"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568D14C5" w14:textId="77777777"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F30BC0" w14:paraId="568D14C9" w14:textId="77777777">
        <w:tc>
          <w:tcPr>
            <w:tcW w:w="3060" w:type="dxa"/>
          </w:tcPr>
          <w:p w14:paraId="568D14C7"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568D14C8" w14:textId="77777777"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F30BC0" w14:paraId="568D14CC" w14:textId="77777777">
        <w:tc>
          <w:tcPr>
            <w:tcW w:w="3060" w:type="dxa"/>
          </w:tcPr>
          <w:p w14:paraId="568D14CA"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568D14CB" w14:textId="77777777" w:rsidR="00F30BC0" w:rsidRDefault="0054707D">
            <w:pPr>
              <w:numPr>
                <w:ilvl w:val="0"/>
                <w:numId w:val="3"/>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F30BC0" w14:paraId="568D14CF" w14:textId="77777777">
        <w:tc>
          <w:tcPr>
            <w:tcW w:w="3060" w:type="dxa"/>
          </w:tcPr>
          <w:p w14:paraId="568D14CD"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568D14CE" w14:textId="5D1AB48D"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current net book value of the relevant Supplier Asset(s) calculated in accordance with the Framework Tender or Call-Off </w:t>
            </w:r>
            <w:bookmarkStart w:id="0" w:name="_GoBack"/>
            <w:bookmarkEnd w:id="0"/>
            <w:r>
              <w:rPr>
                <w:rFonts w:ascii="Arial" w:eastAsia="Arial" w:hAnsi="Arial" w:cs="Arial"/>
                <w:color w:val="000000"/>
                <w:sz w:val="24"/>
                <w:szCs w:val="24"/>
              </w:rPr>
              <w:t>Tender (if stated) or (if not stated) the depreciation policy of the Supplier (which the Supplier shall ensure is in accordance with Good Industry Practice);</w:t>
            </w:r>
          </w:p>
        </w:tc>
      </w:tr>
      <w:tr w:rsidR="00F30BC0" w14:paraId="568D14D2" w14:textId="77777777">
        <w:tc>
          <w:tcPr>
            <w:tcW w:w="3060" w:type="dxa"/>
          </w:tcPr>
          <w:p w14:paraId="568D14D0"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568D14D1" w14:textId="5C023E3E"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those Supplier Assets used by the Supplier in connection with the Deliverables but which are also used by the Supplier for other purposes;</w:t>
            </w:r>
          </w:p>
        </w:tc>
      </w:tr>
      <w:tr w:rsidR="00F30BC0" w14:paraId="568D14D5" w14:textId="77777777">
        <w:tc>
          <w:tcPr>
            <w:tcW w:w="3060" w:type="dxa"/>
          </w:tcPr>
          <w:p w14:paraId="568D14D3"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568D14D4" w14:textId="77777777"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F30BC0" w14:paraId="568D14D8" w14:textId="77777777">
        <w:tc>
          <w:tcPr>
            <w:tcW w:w="3060" w:type="dxa"/>
          </w:tcPr>
          <w:p w14:paraId="568D14D6"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568D14D7" w14:textId="77777777"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w:t>
            </w:r>
            <w:r>
              <w:rPr>
                <w:rFonts w:ascii="Arial" w:eastAsia="Arial" w:hAnsi="Arial" w:cs="Arial"/>
                <w:color w:val="000000"/>
                <w:sz w:val="24"/>
                <w:szCs w:val="24"/>
              </w:rPr>
              <w:lastRenderedPageBreak/>
              <w:t>Goods following the End Date, whether those goods are provided by the Buyer internally and/or by any third party;</w:t>
            </w:r>
          </w:p>
        </w:tc>
      </w:tr>
      <w:tr w:rsidR="00F30BC0" w14:paraId="568D14DB" w14:textId="77777777">
        <w:tc>
          <w:tcPr>
            <w:tcW w:w="3060" w:type="dxa"/>
          </w:tcPr>
          <w:p w14:paraId="568D14D9"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Services"</w:t>
            </w:r>
          </w:p>
        </w:tc>
        <w:tc>
          <w:tcPr>
            <w:tcW w:w="4928" w:type="dxa"/>
          </w:tcPr>
          <w:p w14:paraId="568D14DA" w14:textId="77777777"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F30BC0" w14:paraId="568D14DE" w14:textId="77777777">
        <w:tc>
          <w:tcPr>
            <w:tcW w:w="3060" w:type="dxa"/>
          </w:tcPr>
          <w:p w14:paraId="568D14DC"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568D14DD" w14:textId="77777777"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F30BC0" w14:paraId="568D14E1" w14:textId="77777777">
        <w:tc>
          <w:tcPr>
            <w:tcW w:w="3060" w:type="dxa"/>
          </w:tcPr>
          <w:p w14:paraId="568D14DF"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568D14E0" w14:textId="77777777"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F30BC0" w14:paraId="568D14E4" w14:textId="77777777">
        <w:tc>
          <w:tcPr>
            <w:tcW w:w="3060" w:type="dxa"/>
          </w:tcPr>
          <w:p w14:paraId="568D14E2" w14:textId="77777777" w:rsidR="00F30BC0" w:rsidRDefault="0054707D">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568D14E3" w14:textId="77777777"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F30BC0" w14:paraId="568D14E7" w14:textId="77777777">
        <w:tc>
          <w:tcPr>
            <w:tcW w:w="3060" w:type="dxa"/>
          </w:tcPr>
          <w:p w14:paraId="568D14E5"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568D14E6" w14:textId="77777777"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F30BC0" w14:paraId="568D14EA" w14:textId="77777777">
        <w:tc>
          <w:tcPr>
            <w:tcW w:w="3060" w:type="dxa"/>
          </w:tcPr>
          <w:p w14:paraId="568D14E8"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568D14E9" w14:textId="77777777"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F30BC0" w14:paraId="568D14ED" w14:textId="77777777">
        <w:tc>
          <w:tcPr>
            <w:tcW w:w="3060" w:type="dxa"/>
          </w:tcPr>
          <w:p w14:paraId="568D14EB"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568D14EC" w14:textId="77777777"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F30BC0" w14:paraId="568D14F0" w14:textId="77777777">
        <w:tc>
          <w:tcPr>
            <w:tcW w:w="3060" w:type="dxa"/>
          </w:tcPr>
          <w:p w14:paraId="568D14EE" w14:textId="77777777" w:rsidR="00F30BC0" w:rsidRDefault="005470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568D14EF" w14:textId="77777777" w:rsidR="00F30BC0" w:rsidRDefault="0054707D">
            <w:pPr>
              <w:numPr>
                <w:ilvl w:val="0"/>
                <w:numId w:val="3"/>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568D14F1" w14:textId="77777777" w:rsidR="00F30BC0" w:rsidRDefault="0054707D">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568D14F2"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568D14F3" w14:textId="77777777" w:rsidR="00F30BC0" w:rsidRDefault="0054707D">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lastRenderedPageBreak/>
        <w:t>During the Contract Period, the Supplier shall promptly:</w:t>
      </w:r>
    </w:p>
    <w:p w14:paraId="568D14F4"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68D14F5"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568D14F6" w14:textId="77777777" w:rsidR="00F30BC0" w:rsidRDefault="0054707D">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568D14F7" w14:textId="77777777" w:rsidR="00F30BC0" w:rsidRDefault="0054707D">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568D14F8"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568D14F9"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568D14FA"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568D14FB" w14:textId="77777777" w:rsidR="00F30BC0" w:rsidRDefault="0054707D">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568D14FC"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568D14FD"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568D14FE"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68D14FF"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Exit Information shall be accurate and complete in all material respects and shall be sufficient to enable a third party to prepare an informed offer for those Deliverables; and not be disadvantaged in any procurement process compared to the Supplier.</w:t>
      </w:r>
    </w:p>
    <w:p w14:paraId="568D1500" w14:textId="77777777" w:rsidR="00F30BC0" w:rsidRDefault="0054707D">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568D1501"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568D1502"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568D1503" w14:textId="77777777" w:rsidR="00F30BC0" w:rsidRDefault="0054707D">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568D1504"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568D1505"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568D1506"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568D1507"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568D1508"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568D1509"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568D150A"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568D150B"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568D150C"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568D150D"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568D150E" w14:textId="77777777" w:rsidR="00F30BC0" w:rsidRDefault="0054707D">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lastRenderedPageBreak/>
        <w:t>The Supplier shall:</w:t>
      </w:r>
    </w:p>
    <w:p w14:paraId="568D150F" w14:textId="77777777" w:rsidR="00F30BC0" w:rsidRDefault="0054707D">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568D1510" w14:textId="49E3D648" w:rsidR="00F30BC0" w:rsidRPr="00BF509E" w:rsidRDefault="0054707D">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F509E">
        <w:rPr>
          <w:rFonts w:ascii="Arial" w:eastAsia="Arial" w:hAnsi="Arial" w:cs="Arial"/>
          <w:color w:val="000000"/>
          <w:sz w:val="24"/>
          <w:szCs w:val="24"/>
        </w:rPr>
        <w:t>every six (6) months throughout the Contract Period; and</w:t>
      </w:r>
    </w:p>
    <w:p w14:paraId="568D1511" w14:textId="40DCD64D" w:rsidR="00F30BC0" w:rsidRPr="00BF509E" w:rsidRDefault="0054707D">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sidRPr="00BF509E">
        <w:rPr>
          <w:rFonts w:ascii="Arial" w:eastAsia="Arial" w:hAnsi="Arial" w:cs="Arial"/>
          <w:color w:val="000000"/>
          <w:sz w:val="24"/>
          <w:szCs w:val="24"/>
        </w:rPr>
        <w:t>no later than twenty (20) Working Days</w:t>
      </w:r>
      <w:r w:rsidR="00BF509E">
        <w:rPr>
          <w:rFonts w:ascii="Arial" w:eastAsia="Arial" w:hAnsi="Arial" w:cs="Arial"/>
          <w:color w:val="000000"/>
          <w:sz w:val="24"/>
          <w:szCs w:val="24"/>
        </w:rPr>
        <w:t xml:space="preserve"> </w:t>
      </w:r>
      <w:r w:rsidRPr="00BF509E">
        <w:rPr>
          <w:rFonts w:ascii="Arial" w:eastAsia="Arial" w:hAnsi="Arial" w:cs="Arial"/>
          <w:color w:val="000000"/>
          <w:sz w:val="24"/>
          <w:szCs w:val="24"/>
        </w:rPr>
        <w:t xml:space="preserve">after a request from the Buyer for an up-to-date copy of the Exit Plan; </w:t>
      </w:r>
    </w:p>
    <w:p w14:paraId="568D1512" w14:textId="314D2F0F" w:rsidR="00F30BC0" w:rsidRPr="00BF509E" w:rsidRDefault="0054707D">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F509E">
        <w:rPr>
          <w:rFonts w:ascii="Arial" w:eastAsia="Arial" w:hAnsi="Arial" w:cs="Arial"/>
          <w:color w:val="000000"/>
          <w:sz w:val="24"/>
          <w:szCs w:val="24"/>
        </w:rPr>
        <w:t>as soon as reasonably possible following a Termination Assistance Notice, and in any event no later than ten (10) Working Days after the date of the Termination Assistance Notice;</w:t>
      </w:r>
    </w:p>
    <w:p w14:paraId="568D1513" w14:textId="700A3EE8" w:rsidR="00F30BC0" w:rsidRDefault="0054707D">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BF509E">
        <w:rPr>
          <w:rFonts w:ascii="Arial" w:eastAsia="Arial" w:hAnsi="Arial" w:cs="Arial"/>
          <w:color w:val="000000"/>
          <w:sz w:val="24"/>
          <w:szCs w:val="24"/>
        </w:rPr>
        <w:t>as soon as reasonably possible following, and in any event no later than twenty (20) Working Days</w:t>
      </w:r>
      <w:r w:rsidR="00BF509E">
        <w:rPr>
          <w:rFonts w:ascii="Arial" w:eastAsia="Arial" w:hAnsi="Arial" w:cs="Arial"/>
          <w:color w:val="000000"/>
          <w:sz w:val="24"/>
          <w:szCs w:val="24"/>
        </w:rPr>
        <w:t xml:space="preserve"> </w:t>
      </w:r>
      <w:r>
        <w:rPr>
          <w:rFonts w:ascii="Arial" w:eastAsia="Arial" w:hAnsi="Arial" w:cs="Arial"/>
          <w:color w:val="000000"/>
          <w:sz w:val="24"/>
          <w:szCs w:val="24"/>
        </w:rPr>
        <w:t xml:space="preserve">following, any material change to the Deliverables (including all changes under the Variation Procedure); and  </w:t>
      </w:r>
    </w:p>
    <w:p w14:paraId="568D1514"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568D1515"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568D1516"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568D1517" w14:textId="77777777" w:rsidR="00F30BC0" w:rsidRDefault="0054707D">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568D1518"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568D1519"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568D151A"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568D151B"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568D151C"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568D151D"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Buyer shall notify the Supplier of any such extension no later than twenty (20) Working Days prior to the date on which the Termination Assistance Period is otherwise due to expire. </w:t>
      </w:r>
    </w:p>
    <w:p w14:paraId="568D151E" w14:textId="77777777" w:rsidR="00F30BC0" w:rsidRDefault="0054707D">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568D151F"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568D1520" w14:textId="77777777" w:rsidR="00F30BC0" w:rsidRDefault="0054707D">
      <w:pPr>
        <w:keepNext/>
        <w:keepLines/>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568D1521" w14:textId="77777777" w:rsidR="00F30BC0" w:rsidRDefault="0054707D">
      <w:pPr>
        <w:keepNext/>
        <w:keepLines/>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14:paraId="568D1522"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568D1523"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568D1524"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568D1525"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568D1526"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14:paraId="568D1527"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568D1528"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568D1529"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568D152A" w14:textId="77777777" w:rsidR="00F30BC0" w:rsidRDefault="0054707D">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Obligations when the contract is terminated  </w:t>
      </w:r>
    </w:p>
    <w:p w14:paraId="568D152B"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14:paraId="568D152C" w14:textId="77777777" w:rsidR="00F30BC0" w:rsidRDefault="0054707D">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568D152D"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568D152E"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568D152F" w14:textId="77777777" w:rsidR="00F30BC0" w:rsidRDefault="0054707D">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14:paraId="568D1530" w14:textId="77777777" w:rsidR="00F30BC0" w:rsidRDefault="0054707D">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568D1531" w14:textId="77777777" w:rsidR="00F30BC0" w:rsidRDefault="0054707D">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568D1532"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568D1533" w14:textId="77777777" w:rsidR="00F30BC0" w:rsidRDefault="0054707D">
      <w:pPr>
        <w:keepNext/>
        <w:numPr>
          <w:ilvl w:val="0"/>
          <w:numId w:val="2"/>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568D1534" w14:textId="77777777" w:rsidR="00F30BC0" w:rsidRDefault="0054707D">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568D1535"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568D1536"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568D1537" w14:textId="77777777" w:rsidR="00F30BC0" w:rsidRDefault="0054707D">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lastRenderedPageBreak/>
        <w:t>Within twenty (20) Working Days of receipt of the up-to-date Registers provided by the Supplier, the Buyer shall notify the Supplier setting out:</w:t>
      </w:r>
    </w:p>
    <w:p w14:paraId="568D1538"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568D1539" w14:textId="77777777" w:rsidR="00F30BC0" w:rsidRDefault="0054707D">
      <w:pPr>
        <w:keepNext/>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14:paraId="568D153A" w14:textId="77777777" w:rsidR="00F30BC0" w:rsidRDefault="0054707D">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568D153B" w14:textId="77777777" w:rsidR="00F30BC0" w:rsidRDefault="0054707D">
      <w:pPr>
        <w:numPr>
          <w:ilvl w:val="3"/>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568D153C" w14:textId="77777777" w:rsidR="00F30BC0" w:rsidRDefault="0054707D">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568D153D"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568D153E" w14:textId="77777777" w:rsidR="00F30BC0" w:rsidRDefault="0054707D">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68D153F"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568D1540"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568D1541" w14:textId="77777777" w:rsidR="00F30BC0" w:rsidRDefault="0054707D">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568D1542"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568D1543"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568D1544"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568D1545" w14:textId="77777777" w:rsidR="00F30BC0" w:rsidRDefault="0054707D">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14:paraId="568D1546"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568D1547"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568D1548"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568D1549"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568D154A" w14:textId="77777777" w:rsidR="00F30BC0" w:rsidRDefault="0054707D">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568D154B" w14:textId="77777777" w:rsidR="00F30BC0" w:rsidRDefault="0054707D">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568D154C" w14:textId="77777777" w:rsidR="00F30BC0" w:rsidRDefault="0054707D">
      <w:pPr>
        <w:keepNext/>
        <w:numPr>
          <w:ilvl w:val="0"/>
          <w:numId w:val="2"/>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568D154D" w14:textId="77777777" w:rsidR="00F30BC0" w:rsidRDefault="0054707D">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568D154E"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568D154F"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568D1550" w14:textId="77777777" w:rsidR="00F30BC0" w:rsidRDefault="0054707D">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568D1551" w14:textId="77777777" w:rsidR="00F30BC0" w:rsidRDefault="00F30BC0">
      <w:pPr>
        <w:rPr>
          <w:rFonts w:ascii="Arial" w:eastAsia="Arial" w:hAnsi="Arial" w:cs="Arial"/>
          <w:sz w:val="24"/>
          <w:szCs w:val="24"/>
        </w:rPr>
      </w:pPr>
    </w:p>
    <w:p w14:paraId="568D1552" w14:textId="77777777" w:rsidR="00F30BC0" w:rsidRDefault="00F30BC0">
      <w:pPr>
        <w:rPr>
          <w:rFonts w:ascii="Arial" w:eastAsia="Arial" w:hAnsi="Arial" w:cs="Arial"/>
          <w:sz w:val="24"/>
          <w:szCs w:val="24"/>
        </w:rPr>
      </w:pPr>
    </w:p>
    <w:p w14:paraId="568D1553" w14:textId="77777777" w:rsidR="00F30BC0" w:rsidRDefault="00F30BC0">
      <w:pPr>
        <w:rPr>
          <w:rFonts w:ascii="Arial" w:eastAsia="Arial" w:hAnsi="Arial" w:cs="Arial"/>
          <w:sz w:val="24"/>
          <w:szCs w:val="24"/>
        </w:rPr>
      </w:pPr>
    </w:p>
    <w:p w14:paraId="568D1554" w14:textId="77777777" w:rsidR="00F30BC0" w:rsidRDefault="00F30BC0">
      <w:pPr>
        <w:rPr>
          <w:rFonts w:ascii="Arial" w:eastAsia="Arial" w:hAnsi="Arial" w:cs="Arial"/>
          <w:sz w:val="24"/>
          <w:szCs w:val="24"/>
        </w:rPr>
      </w:pPr>
    </w:p>
    <w:p w14:paraId="568D1555" w14:textId="77777777" w:rsidR="00F30BC0" w:rsidRDefault="00F30BC0">
      <w:pPr>
        <w:rPr>
          <w:rFonts w:ascii="Arial" w:eastAsia="Arial" w:hAnsi="Arial" w:cs="Arial"/>
          <w:sz w:val="24"/>
          <w:szCs w:val="24"/>
        </w:rPr>
      </w:pPr>
    </w:p>
    <w:p w14:paraId="568D1556" w14:textId="77777777" w:rsidR="00F30BC0" w:rsidRDefault="00F30BC0">
      <w:pPr>
        <w:rPr>
          <w:rFonts w:ascii="Arial" w:eastAsia="Arial" w:hAnsi="Arial" w:cs="Arial"/>
          <w:sz w:val="24"/>
          <w:szCs w:val="24"/>
        </w:rPr>
      </w:pPr>
    </w:p>
    <w:p w14:paraId="568D1558" w14:textId="1B77CC08" w:rsidR="00F30BC0" w:rsidRPr="003D060A" w:rsidRDefault="0054707D" w:rsidP="003D060A">
      <w:pPr>
        <w:keepNext/>
        <w:spacing w:after="240" w:line="240" w:lineRule="auto"/>
        <w:rPr>
          <w:rFonts w:ascii="Arial" w:eastAsia="Arial" w:hAnsi="Arial" w:cs="Arial"/>
          <w:b/>
          <w:sz w:val="32"/>
          <w:szCs w:val="32"/>
        </w:rPr>
      </w:pPr>
      <w:r>
        <w:rPr>
          <w:rFonts w:ascii="Arial" w:eastAsia="Arial" w:hAnsi="Arial" w:cs="Arial"/>
          <w:b/>
          <w:sz w:val="32"/>
          <w:szCs w:val="32"/>
        </w:rPr>
        <w:lastRenderedPageBreak/>
        <w:t>Part B: Short Form Exit Management Requirements-SaaS</w:t>
      </w:r>
      <w:r w:rsidR="003D060A">
        <w:rPr>
          <w:rFonts w:ascii="Arial" w:eastAsia="Arial" w:hAnsi="Arial" w:cs="Arial"/>
          <w:b/>
          <w:sz w:val="32"/>
          <w:szCs w:val="32"/>
        </w:rPr>
        <w:t xml:space="preserve"> Not Applicable</w:t>
      </w:r>
    </w:p>
    <w:p w14:paraId="568D1559" w14:textId="77777777" w:rsidR="00F30BC0" w:rsidRDefault="0054707D">
      <w:pPr>
        <w:numPr>
          <w:ilvl w:val="0"/>
          <w:numId w:val="1"/>
        </w:numPr>
        <w:rPr>
          <w:rFonts w:ascii="Arial" w:eastAsia="Arial" w:hAnsi="Arial" w:cs="Arial"/>
          <w:sz w:val="24"/>
          <w:szCs w:val="24"/>
        </w:rPr>
      </w:pPr>
      <w:r>
        <w:rPr>
          <w:rFonts w:ascii="Arial" w:eastAsia="Arial" w:hAnsi="Arial" w:cs="Arial"/>
          <w:sz w:val="24"/>
          <w:szCs w:val="24"/>
        </w:rPr>
        <w:t>Within 20 (twenty) working days of the Start Date the Supplier must provide the Buyer with an exit plan which ensures continuity of service and which the Supplier will follow.</w:t>
      </w:r>
    </w:p>
    <w:p w14:paraId="568D155A" w14:textId="77777777" w:rsidR="00F30BC0" w:rsidRDefault="0054707D">
      <w:pPr>
        <w:numPr>
          <w:ilvl w:val="0"/>
          <w:numId w:val="1"/>
        </w:numPr>
        <w:rPr>
          <w:rFonts w:ascii="Arial" w:eastAsia="Arial" w:hAnsi="Arial" w:cs="Arial"/>
          <w:sz w:val="24"/>
          <w:szCs w:val="24"/>
        </w:rPr>
      </w:pPr>
      <w:r>
        <w:rPr>
          <w:rFonts w:ascii="Arial" w:eastAsia="Arial" w:hAnsi="Arial" w:cs="Arial"/>
          <w:sz w:val="24"/>
          <w:szCs w:val="24"/>
        </w:rPr>
        <w:t>The Supplier must ensure that the exit plan clearly sets out the Supplier’s methodology for achieving an orderly transition of the Services from the Supplier to the Buyer or its Replacement Supplier at the expiry or if the contract ends before the scheduled expiry.</w:t>
      </w:r>
    </w:p>
    <w:p w14:paraId="568D155B" w14:textId="77777777" w:rsidR="00F30BC0" w:rsidRDefault="0054707D">
      <w:pPr>
        <w:numPr>
          <w:ilvl w:val="0"/>
          <w:numId w:val="1"/>
        </w:numPr>
        <w:rPr>
          <w:rFonts w:ascii="Arial" w:eastAsia="Arial" w:hAnsi="Arial" w:cs="Arial"/>
          <w:sz w:val="24"/>
          <w:szCs w:val="24"/>
        </w:rPr>
      </w:pPr>
      <w:r>
        <w:rPr>
          <w:rFonts w:ascii="Arial" w:eastAsia="Arial" w:hAnsi="Arial" w:cs="Arial"/>
          <w:sz w:val="24"/>
          <w:szCs w:val="24"/>
        </w:rPr>
        <w:t>The exit plan should set out full details of timescales, activities and roles and responsibilities of the Parties for:</w:t>
      </w:r>
    </w:p>
    <w:p w14:paraId="568D155C" w14:textId="77777777" w:rsidR="00F30BC0" w:rsidRDefault="0054707D">
      <w:pPr>
        <w:numPr>
          <w:ilvl w:val="1"/>
          <w:numId w:val="1"/>
        </w:numPr>
        <w:rPr>
          <w:rFonts w:ascii="Arial" w:eastAsia="Arial" w:hAnsi="Arial" w:cs="Arial"/>
          <w:sz w:val="24"/>
          <w:szCs w:val="24"/>
        </w:rPr>
      </w:pPr>
      <w:r>
        <w:rPr>
          <w:rFonts w:ascii="Arial" w:eastAsia="Arial" w:hAnsi="Arial" w:cs="Arial"/>
          <w:sz w:val="24"/>
          <w:szCs w:val="24"/>
        </w:rPr>
        <w:t>the transfer to the Buyer of any technical information, instructions, manuals and code reasonably required by the Buyer to enable a smooth migration from the Supplier</w:t>
      </w:r>
    </w:p>
    <w:p w14:paraId="568D155D" w14:textId="77777777" w:rsidR="00F30BC0" w:rsidRDefault="0054707D">
      <w:pPr>
        <w:numPr>
          <w:ilvl w:val="1"/>
          <w:numId w:val="1"/>
        </w:numPr>
        <w:rPr>
          <w:rFonts w:ascii="Arial" w:eastAsia="Arial" w:hAnsi="Arial" w:cs="Arial"/>
          <w:sz w:val="24"/>
          <w:szCs w:val="24"/>
        </w:rPr>
      </w:pPr>
      <w:r>
        <w:rPr>
          <w:rFonts w:ascii="Arial" w:eastAsia="Arial" w:hAnsi="Arial" w:cs="Arial"/>
          <w:sz w:val="24"/>
          <w:szCs w:val="24"/>
        </w:rPr>
        <w:t>the strategy for export and migration of Buyer data from the Supplier system to the Buyer or a Replacement Supplier, including conversion to open standards or other standards required by the Buyer</w:t>
      </w:r>
    </w:p>
    <w:p w14:paraId="568D155E" w14:textId="77777777" w:rsidR="00F30BC0" w:rsidRDefault="0054707D">
      <w:pPr>
        <w:numPr>
          <w:ilvl w:val="1"/>
          <w:numId w:val="1"/>
        </w:numPr>
        <w:rPr>
          <w:rFonts w:ascii="Arial" w:eastAsia="Arial" w:hAnsi="Arial" w:cs="Arial"/>
          <w:sz w:val="24"/>
          <w:szCs w:val="24"/>
        </w:rPr>
      </w:pPr>
      <w:r>
        <w:rPr>
          <w:rFonts w:ascii="Arial" w:eastAsia="Arial" w:hAnsi="Arial" w:cs="Arial"/>
          <w:sz w:val="24"/>
          <w:szCs w:val="24"/>
        </w:rPr>
        <w:t>the transfer of project- specific IPR items and other Buyer customisations, configurations and databases to the Buyer or a replacement supplier</w:t>
      </w:r>
    </w:p>
    <w:p w14:paraId="568D155F" w14:textId="77777777" w:rsidR="00F30BC0" w:rsidRDefault="0054707D">
      <w:pPr>
        <w:numPr>
          <w:ilvl w:val="1"/>
          <w:numId w:val="1"/>
        </w:numPr>
        <w:rPr>
          <w:rFonts w:ascii="Arial" w:eastAsia="Arial" w:hAnsi="Arial" w:cs="Arial"/>
          <w:sz w:val="24"/>
          <w:szCs w:val="24"/>
        </w:rPr>
      </w:pPr>
      <w:r>
        <w:rPr>
          <w:rFonts w:ascii="Arial" w:eastAsia="Arial" w:hAnsi="Arial" w:cs="Arial"/>
          <w:sz w:val="24"/>
          <w:szCs w:val="24"/>
        </w:rPr>
        <w:t>the testing and assurance strategy for exported Buyer data</w:t>
      </w:r>
    </w:p>
    <w:p w14:paraId="568D1560" w14:textId="77777777" w:rsidR="00F30BC0" w:rsidRDefault="0054707D">
      <w:pPr>
        <w:numPr>
          <w:ilvl w:val="1"/>
          <w:numId w:val="1"/>
        </w:numPr>
        <w:rPr>
          <w:rFonts w:ascii="Arial" w:eastAsia="Arial" w:hAnsi="Arial" w:cs="Arial"/>
          <w:sz w:val="24"/>
          <w:szCs w:val="24"/>
        </w:rPr>
      </w:pPr>
      <w:r>
        <w:rPr>
          <w:rFonts w:ascii="Arial" w:eastAsia="Arial" w:hAnsi="Arial" w:cs="Arial"/>
          <w:sz w:val="24"/>
          <w:szCs w:val="24"/>
        </w:rPr>
        <w:t>if relevant, TUPE-related activity to comply with the TUPE regulations</w:t>
      </w:r>
    </w:p>
    <w:p w14:paraId="568D1561" w14:textId="77777777" w:rsidR="00F30BC0" w:rsidRDefault="0054707D">
      <w:pPr>
        <w:numPr>
          <w:ilvl w:val="1"/>
          <w:numId w:val="1"/>
        </w:numPr>
        <w:rPr>
          <w:rFonts w:ascii="Arial" w:eastAsia="Arial" w:hAnsi="Arial" w:cs="Arial"/>
          <w:sz w:val="24"/>
          <w:szCs w:val="24"/>
        </w:rPr>
      </w:pPr>
      <w:r>
        <w:rPr>
          <w:rFonts w:ascii="Arial" w:eastAsia="Arial" w:hAnsi="Arial" w:cs="Arial"/>
          <w:sz w:val="24"/>
          <w:szCs w:val="24"/>
        </w:rPr>
        <w:t>any other activities and information which are reasonably required to ensure continuity of Service during the exit period and an orderly transition</w:t>
      </w:r>
    </w:p>
    <w:p w14:paraId="568D1562" w14:textId="77777777" w:rsidR="00F30BC0" w:rsidRDefault="0054707D">
      <w:pPr>
        <w:numPr>
          <w:ilvl w:val="0"/>
          <w:numId w:val="1"/>
        </w:numPr>
        <w:rPr>
          <w:rFonts w:ascii="Arial" w:eastAsia="Arial" w:hAnsi="Arial" w:cs="Arial"/>
          <w:sz w:val="24"/>
          <w:szCs w:val="24"/>
        </w:rPr>
      </w:pPr>
      <w:r>
        <w:rPr>
          <w:rFonts w:ascii="Arial" w:eastAsia="Arial" w:hAnsi="Arial" w:cs="Arial"/>
          <w:sz w:val="24"/>
          <w:szCs w:val="24"/>
        </w:rPr>
        <w:t>When requested, the Supplier will help the Buyer to migrate the Services to a Replacement Supplier in line with the exit plan. This will be at the Supplier’s own expense if the Call-Off Contract ended before the Expiry Date due to Supplier cause. Otherwise any additional costs incurred by the Supplier in providing such assistance shall be subject to the Variation Procedure.</w:t>
      </w:r>
    </w:p>
    <w:p w14:paraId="568D1563" w14:textId="77777777" w:rsidR="00F30BC0" w:rsidRDefault="00F30BC0">
      <w:pPr>
        <w:keepNext/>
        <w:spacing w:after="240" w:line="240" w:lineRule="auto"/>
        <w:ind w:left="283"/>
        <w:rPr>
          <w:rFonts w:ascii="Arial" w:eastAsia="Arial" w:hAnsi="Arial" w:cs="Arial"/>
          <w:sz w:val="24"/>
          <w:szCs w:val="24"/>
        </w:rPr>
      </w:pPr>
    </w:p>
    <w:sectPr w:rsidR="00F30BC0">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D1566" w14:textId="77777777" w:rsidR="0054707D" w:rsidRDefault="0054707D">
      <w:pPr>
        <w:spacing w:after="0" w:line="240" w:lineRule="auto"/>
      </w:pPr>
      <w:r>
        <w:separator/>
      </w:r>
    </w:p>
  </w:endnote>
  <w:endnote w:type="continuationSeparator" w:id="0">
    <w:p w14:paraId="568D1567" w14:textId="77777777" w:rsidR="0054707D" w:rsidRDefault="00547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STZhongsong"/>
    <w:panose1 w:val="00000000000000000000"/>
    <w:charset w:val="00"/>
    <w:family w:val="roman"/>
    <w:notTrueType/>
    <w:pitch w:val="default"/>
  </w:font>
  <w:font w:name="Tahoma">
    <w:panose1 w:val="020B0604030504040204"/>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D156C" w14:textId="77777777" w:rsidR="00F30BC0" w:rsidRDefault="00F30BC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568D156D" w14:textId="77777777" w:rsidR="00F30BC0" w:rsidRDefault="005470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RM6195</w:t>
    </w:r>
  </w:p>
  <w:p w14:paraId="568D156E" w14:textId="77777777" w:rsidR="00F30BC0" w:rsidRDefault="005470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1</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16C5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68D156F" w14:textId="77777777" w:rsidR="00F30BC0" w:rsidRDefault="005470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D1570" w14:textId="77777777" w:rsidR="00F30BC0" w:rsidRDefault="00F30BC0">
    <w:pPr>
      <w:tabs>
        <w:tab w:val="center" w:pos="4513"/>
        <w:tab w:val="right" w:pos="9026"/>
      </w:tabs>
      <w:spacing w:after="0"/>
      <w:rPr>
        <w:rFonts w:ascii="Arial" w:eastAsia="Arial" w:hAnsi="Arial" w:cs="Arial"/>
        <w:color w:val="A6A6A6"/>
        <w:sz w:val="20"/>
        <w:szCs w:val="20"/>
      </w:rPr>
    </w:pPr>
  </w:p>
  <w:p w14:paraId="568D1571" w14:textId="77777777" w:rsidR="00F30BC0" w:rsidRDefault="0054707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568D1572" w14:textId="77777777" w:rsidR="00F30BC0" w:rsidRDefault="0054707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568D1573" w14:textId="77777777" w:rsidR="00F30BC0" w:rsidRDefault="0054707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D1564" w14:textId="77777777" w:rsidR="0054707D" w:rsidRDefault="0054707D">
      <w:pPr>
        <w:spacing w:after="0" w:line="240" w:lineRule="auto"/>
      </w:pPr>
      <w:r>
        <w:separator/>
      </w:r>
    </w:p>
  </w:footnote>
  <w:footnote w:type="continuationSeparator" w:id="0">
    <w:p w14:paraId="568D1565" w14:textId="77777777" w:rsidR="0054707D" w:rsidRDefault="00547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D1568" w14:textId="77777777" w:rsidR="00F30BC0" w:rsidRDefault="005470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568D1569" w14:textId="77777777" w:rsidR="00F30BC0" w:rsidRDefault="005470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00E16C58" w:rsidRPr="00E16C58">
      <w:rPr>
        <w:rFonts w:ascii="Arial" w:eastAsia="Arial" w:hAnsi="Arial" w:cs="Arial"/>
        <w:color w:val="000000"/>
        <w:sz w:val="20"/>
        <w:szCs w:val="20"/>
      </w:rPr>
      <w:t>CCNE22A04</w:t>
    </w:r>
  </w:p>
  <w:p w14:paraId="568D156A" w14:textId="77777777" w:rsidR="00F30BC0" w:rsidRDefault="005470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568D156B" w14:textId="77777777" w:rsidR="00F30BC0" w:rsidRDefault="00F30BC0">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E7262"/>
    <w:multiLevelType w:val="multilevel"/>
    <w:tmpl w:val="E09073D4"/>
    <w:lvl w:ilvl="0">
      <w:start w:val="1"/>
      <w:numFmt w:val="decimal"/>
      <w:pStyle w:val="ScheduleL1"/>
      <w:lvlText w:val="%1"/>
      <w:lvlJc w:val="left"/>
      <w:pPr>
        <w:ind w:left="170" w:hanging="170"/>
      </w:pPr>
      <w:rPr>
        <w:rFonts w:ascii="Arial" w:eastAsia="Arial" w:hAnsi="Arial" w:cs="Arial"/>
        <w:sz w:val="22"/>
        <w:szCs w:val="22"/>
      </w:rPr>
    </w:lvl>
    <w:lvl w:ilvl="1">
      <w:start w:val="1"/>
      <w:numFmt w:val="lowerLetter"/>
      <w:pStyle w:val="Schedule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L3"/>
      <w:lvlText w:val="%3)"/>
      <w:lvlJc w:val="left"/>
      <w:pPr>
        <w:ind w:left="1080" w:hanging="360"/>
      </w:pPr>
      <w:rPr>
        <w:rFonts w:ascii="Arial" w:eastAsia="Arial" w:hAnsi="Arial" w:cs="Arial"/>
        <w:sz w:val="22"/>
        <w:szCs w:val="22"/>
      </w:rPr>
    </w:lvl>
    <w:lvl w:ilvl="3">
      <w:start w:val="1"/>
      <w:numFmt w:val="decimal"/>
      <w:pStyle w:val="ScheduleL4"/>
      <w:lvlText w:val="(%4)"/>
      <w:lvlJc w:val="left"/>
      <w:pPr>
        <w:ind w:left="1440" w:hanging="360"/>
      </w:pPr>
    </w:lvl>
    <w:lvl w:ilvl="4">
      <w:start w:val="1"/>
      <w:numFmt w:val="lowerLetter"/>
      <w:pStyle w:val="ScheduleL5"/>
      <w:lvlText w:val="(%5)"/>
      <w:lvlJc w:val="left"/>
      <w:pPr>
        <w:ind w:left="1800" w:hanging="360"/>
      </w:pPr>
    </w:lvl>
    <w:lvl w:ilvl="5">
      <w:start w:val="1"/>
      <w:numFmt w:val="lowerRoman"/>
      <w:pStyle w:val="ScheduleL6"/>
      <w:lvlText w:val="(%6)"/>
      <w:lvlJc w:val="left"/>
      <w:pPr>
        <w:ind w:left="2160" w:hanging="360"/>
      </w:pPr>
    </w:lvl>
    <w:lvl w:ilvl="6">
      <w:start w:val="1"/>
      <w:numFmt w:val="decimal"/>
      <w:pStyle w:val="ScheduleL7"/>
      <w:lvlText w:val="%7."/>
      <w:lvlJc w:val="left"/>
      <w:pPr>
        <w:ind w:left="2520" w:hanging="360"/>
      </w:pPr>
    </w:lvl>
    <w:lvl w:ilvl="7">
      <w:start w:val="1"/>
      <w:numFmt w:val="lowerLetter"/>
      <w:pStyle w:val="ScheduleL8"/>
      <w:lvlText w:val="%8."/>
      <w:lvlJc w:val="left"/>
      <w:pPr>
        <w:ind w:left="2880" w:hanging="360"/>
      </w:pPr>
    </w:lvl>
    <w:lvl w:ilvl="8">
      <w:start w:val="1"/>
      <w:numFmt w:val="lowerRoman"/>
      <w:pStyle w:val="ScheduleL9"/>
      <w:lvlText w:val="%9."/>
      <w:lvlJc w:val="left"/>
      <w:pPr>
        <w:ind w:left="3240" w:hanging="360"/>
      </w:pPr>
    </w:lvl>
  </w:abstractNum>
  <w:abstractNum w:abstractNumId="1" w15:restartNumberingAfterBreak="0">
    <w:nsid w:val="418D0262"/>
    <w:multiLevelType w:val="multilevel"/>
    <w:tmpl w:val="37260F8A"/>
    <w:lvl w:ilvl="0">
      <w:start w:val="1"/>
      <w:numFmt w:val="decimal"/>
      <w:pStyle w:val="GPSL1CLAUSEHEADING"/>
      <w:lvlText w:val="%1."/>
      <w:lvlJc w:val="left"/>
      <w:pPr>
        <w:ind w:left="720" w:hanging="360"/>
      </w:pPr>
      <w:rPr>
        <w:u w:val="none"/>
      </w:rPr>
    </w:lvl>
    <w:lvl w:ilvl="1">
      <w:start w:val="1"/>
      <w:numFmt w:val="lowerLetter"/>
      <w:pStyle w:val="GPSL2numberedclause"/>
      <w:lvlText w:val="%2."/>
      <w:lvlJc w:val="left"/>
      <w:pPr>
        <w:ind w:left="1440" w:hanging="360"/>
      </w:pPr>
      <w:rPr>
        <w:u w:val="none"/>
      </w:rPr>
    </w:lvl>
    <w:lvl w:ilvl="2">
      <w:start w:val="1"/>
      <w:numFmt w:val="lowerRoman"/>
      <w:pStyle w:val="GPSL3numberedclause"/>
      <w:lvlText w:val="%3."/>
      <w:lvlJc w:val="right"/>
      <w:pPr>
        <w:ind w:left="2160" w:hanging="360"/>
      </w:pPr>
      <w:rPr>
        <w:u w:val="none"/>
      </w:rPr>
    </w:lvl>
    <w:lvl w:ilvl="3">
      <w:start w:val="1"/>
      <w:numFmt w:val="decimal"/>
      <w:pStyle w:val="GPSL4numberedclause"/>
      <w:lvlText w:val="%4."/>
      <w:lvlJc w:val="left"/>
      <w:pPr>
        <w:ind w:left="2880" w:hanging="360"/>
      </w:pPr>
      <w:rPr>
        <w:u w:val="none"/>
      </w:rPr>
    </w:lvl>
    <w:lvl w:ilvl="4">
      <w:start w:val="1"/>
      <w:numFmt w:val="lowerLetter"/>
      <w:pStyle w:val="GPSL5numberedclause"/>
      <w:lvlText w:val="%5."/>
      <w:lvlJc w:val="left"/>
      <w:pPr>
        <w:ind w:left="3600" w:hanging="360"/>
      </w:pPr>
      <w:rPr>
        <w:u w:val="none"/>
      </w:rPr>
    </w:lvl>
    <w:lvl w:ilvl="5">
      <w:start w:val="1"/>
      <w:numFmt w:val="lowerRoman"/>
      <w:pStyle w:val="GPSL6numbered"/>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0C15273"/>
    <w:multiLevelType w:val="multilevel"/>
    <w:tmpl w:val="7DBABE62"/>
    <w:lvl w:ilvl="0">
      <w:start w:val="1"/>
      <w:numFmt w:val="decimal"/>
      <w:pStyle w:val="GPsDefinition"/>
      <w:lvlText w:val="%1."/>
      <w:lvlJc w:val="left"/>
      <w:pPr>
        <w:ind w:left="644" w:hanging="359"/>
      </w:pPr>
      <w:rPr>
        <w:smallCaps w:val="0"/>
        <w:strike w:val="0"/>
        <w:color w:val="000000"/>
        <w:u w:val="none"/>
        <w:vertAlign w:val="baseline"/>
      </w:rPr>
    </w:lvl>
    <w:lvl w:ilvl="1">
      <w:start w:val="1"/>
      <w:numFmt w:val="decimal"/>
      <w:pStyle w:val="GPSDefinitionL2"/>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720" w:hanging="720"/>
      </w:pPr>
      <w:rPr>
        <w:b w:val="0"/>
        <w:i w:val="0"/>
        <w:smallCaps w:val="0"/>
        <w:strike w:val="0"/>
        <w:color w:val="000000"/>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E886CFF"/>
    <w:multiLevelType w:val="multilevel"/>
    <w:tmpl w:val="936048DA"/>
    <w:lvl w:ilvl="0">
      <w:start w:val="1"/>
      <w:numFmt w:val="decimal"/>
      <w:pStyle w:val="Schedule1"/>
      <w:lvlText w:val="%1."/>
      <w:lvlJc w:val="left"/>
      <w:pPr>
        <w:tabs>
          <w:tab w:val="num" w:pos="720"/>
        </w:tabs>
        <w:ind w:left="720" w:hanging="720"/>
      </w:pPr>
    </w:lvl>
    <w:lvl w:ilvl="1">
      <w:start w:val="1"/>
      <w:numFmt w:val="decimal"/>
      <w:pStyle w:val="Schedule2"/>
      <w:lvlText w:val="%2."/>
      <w:lvlJc w:val="left"/>
      <w:pPr>
        <w:tabs>
          <w:tab w:val="num" w:pos="1440"/>
        </w:tabs>
        <w:ind w:left="1440" w:hanging="720"/>
      </w:pPr>
    </w:lvl>
    <w:lvl w:ilvl="2">
      <w:start w:val="1"/>
      <w:numFmt w:val="decimal"/>
      <w:pStyle w:val="Schedule3"/>
      <w:lvlText w:val="%3."/>
      <w:lvlJc w:val="left"/>
      <w:pPr>
        <w:tabs>
          <w:tab w:val="num" w:pos="2160"/>
        </w:tabs>
        <w:ind w:left="2160" w:hanging="720"/>
      </w:pPr>
    </w:lvl>
    <w:lvl w:ilvl="3">
      <w:start w:val="1"/>
      <w:numFmt w:val="decimal"/>
      <w:pStyle w:val="Schedule4"/>
      <w:lvlText w:val="%4."/>
      <w:lvlJc w:val="left"/>
      <w:pPr>
        <w:tabs>
          <w:tab w:val="num" w:pos="2880"/>
        </w:tabs>
        <w:ind w:left="2880" w:hanging="720"/>
      </w:pPr>
    </w:lvl>
    <w:lvl w:ilvl="4">
      <w:start w:val="1"/>
      <w:numFmt w:val="decimal"/>
      <w:pStyle w:val="Schedule5"/>
      <w:lvlText w:val="%5."/>
      <w:lvlJc w:val="left"/>
      <w:pPr>
        <w:tabs>
          <w:tab w:val="num" w:pos="3600"/>
        </w:tabs>
        <w:ind w:left="3600" w:hanging="720"/>
      </w:pPr>
    </w:lvl>
    <w:lvl w:ilvl="5">
      <w:start w:val="1"/>
      <w:numFmt w:val="decimal"/>
      <w:pStyle w:val="Schedule6"/>
      <w:lvlText w:val="%6."/>
      <w:lvlJc w:val="left"/>
      <w:pPr>
        <w:tabs>
          <w:tab w:val="num" w:pos="4320"/>
        </w:tabs>
        <w:ind w:left="4320" w:hanging="720"/>
      </w:pPr>
    </w:lvl>
    <w:lvl w:ilvl="6">
      <w:start w:val="1"/>
      <w:numFmt w:val="decimal"/>
      <w:pStyle w:val="Schedule7"/>
      <w:lvlText w:val="%7."/>
      <w:lvlJc w:val="left"/>
      <w:pPr>
        <w:tabs>
          <w:tab w:val="num" w:pos="5040"/>
        </w:tabs>
        <w:ind w:left="5040" w:hanging="720"/>
      </w:pPr>
    </w:lvl>
    <w:lvl w:ilvl="7">
      <w:start w:val="1"/>
      <w:numFmt w:val="decimal"/>
      <w:pStyle w:val="Schedule8"/>
      <w:lvlText w:val="%8."/>
      <w:lvlJc w:val="left"/>
      <w:pPr>
        <w:tabs>
          <w:tab w:val="num" w:pos="5760"/>
        </w:tabs>
        <w:ind w:left="5760" w:hanging="720"/>
      </w:pPr>
    </w:lvl>
    <w:lvl w:ilvl="8">
      <w:start w:val="1"/>
      <w:numFmt w:val="decimal"/>
      <w:pStyle w:val="Schedule9"/>
      <w:lvlText w:val="%9."/>
      <w:lvlJc w:val="left"/>
      <w:pPr>
        <w:tabs>
          <w:tab w:val="num" w:pos="6480"/>
        </w:tabs>
        <w:ind w:left="6480" w:hanging="720"/>
      </w:pPr>
    </w:lvl>
  </w:abstractNum>
  <w:num w:numId="1">
    <w:abstractNumId w:val="1"/>
  </w:num>
  <w:num w:numId="2">
    <w:abstractNumId w:val="2"/>
  </w:num>
  <w:num w:numId="3">
    <w:abstractNumId w:val="0"/>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BC0"/>
    <w:rsid w:val="00213B5F"/>
    <w:rsid w:val="003D060A"/>
    <w:rsid w:val="0054707D"/>
    <w:rsid w:val="00BF509E"/>
    <w:rsid w:val="00E16C58"/>
    <w:rsid w:val="00F30B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D14B8"/>
  <w15:docId w15:val="{4B4E9B06-F48E-4536-AC13-21693AF64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4"/>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4"/>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4"/>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4"/>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4"/>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4"/>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4"/>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4"/>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4"/>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KHUKGc4G6pFmTfOcakug89gdyg==">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3123</Words>
  <Characters>17807</Characters>
  <Application>Microsoft Office Word</Application>
  <DocSecurity>0</DocSecurity>
  <Lines>148</Lines>
  <Paragraphs>41</Paragraphs>
  <ScaleCrop>false</ScaleCrop>
  <Company/>
  <LinksUpToDate>false</LinksUpToDate>
  <CharactersWithSpaces>20889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Maria  Vujinovic</cp:lastModifiedBy>
  <cp:revision>5</cp:revision>
  <dcterms:created xsi:type="dcterms:W3CDTF">2020-02-27T11:56:00Z</dcterms:created>
  <dcterms:modified xsi:type="dcterms:W3CDTF">2022-12-12T14:07:00Z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